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851"/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920"/>
        <w:gridCol w:w="4820"/>
      </w:tblGrid>
      <w:tr>
        <w:tblPrEx/>
        <w:trPr/>
        <w:tc>
          <w:tcPr>
            <w:tcW w:w="5920" w:type="dxa"/>
            <w:textDirection w:val="lrTb"/>
            <w:noWrap w:val="false"/>
          </w:tcPr>
          <w:p>
            <w:pPr>
              <w:ind w:firstLine="851"/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УТВЕРЖДАЮ: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Заместитель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генерального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иректора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 техническим вопросам–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главный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А.И.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Таранков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«__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_»_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 2025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851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851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851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pPr>
        <w:ind w:firstLine="851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  <w:t xml:space="preserve">ТЕХНИЧЕСКОЕ ЗАДАНИЕ</w:t>
      </w: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</w: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</w:r>
    </w:p>
    <w:p>
      <w:pPr>
        <w:ind w:firstLine="851"/>
        <w:jc w:val="center"/>
        <w:spacing w:after="0" w:line="240" w:lineRule="auto"/>
      </w:pP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на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 проведение измерений и анализов атмосферного воздуха и промышленных выбросов, включая отбор проб, на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  <w:t xml:space="preserve">производственных площадках Общества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</w:r>
      <w:r/>
    </w:p>
    <w:p>
      <w:pPr>
        <w:ind w:firstLine="851"/>
        <w:jc w:val="center"/>
        <w:spacing w:after="0" w:line="240" w:lineRule="auto"/>
        <w:rPr>
          <w:rFonts w:ascii="Times New Roman CYR" w:hAnsi="Times New Roman CYR" w:eastAsia="Times New Roman" w:cs="Times New Roman CYR"/>
          <w:spacing w:val="6"/>
          <w:sz w:val="24"/>
          <w:szCs w:val="24"/>
        </w:rPr>
      </w:pP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</w:rPr>
      </w:r>
    </w:p>
    <w:p>
      <w:pPr>
        <w:ind w:firstLine="851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  <w:t xml:space="preserve">1. Общие положения</w:t>
      </w: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</w: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</w:pP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  <w:highlight w:val="none"/>
        </w:rPr>
        <w:t xml:space="preserve">1.1</w:t>
      </w: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  <w:highlight w:val="none"/>
        </w:rPr>
        <w:t xml:space="preserve">.</w:t>
      </w: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  <w:highlight w:val="none"/>
        </w:rPr>
        <w:t xml:space="preserve"> Заказчик: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АО «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Россети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 Сибирь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Тываэнерго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».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</w:pP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  <w:highlight w:val="none"/>
        </w:rPr>
        <w:t xml:space="preserve">1.2</w:t>
      </w: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  <w:highlight w:val="none"/>
        </w:rPr>
        <w:t xml:space="preserve">.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 </w:t>
      </w: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  <w:highlight w:val="none"/>
        </w:rPr>
        <w:t xml:space="preserve">Предмет закупки: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проведение измерений и анализов атмосферного воздуха и промышленных выбросов, включая отбор проб, на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производственных площадках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для нужд АО «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Россети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 Сибирь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Тываэнерго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».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</w:r>
    </w:p>
    <w:p>
      <w:pPr>
        <w:ind w:firstLine="709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1.3. 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Предмет договора:</w:t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</w:p>
    <w:p>
      <w:pPr>
        <w:pStyle w:val="893"/>
        <w:contextualSpacing/>
        <w:ind w:left="153" w:right="0" w:firstLine="0"/>
        <w:jc w:val="both"/>
        <w:spacing w:before="0" w:after="0" w:line="240" w:lineRule="auto"/>
        <w:tabs>
          <w:tab w:val="left" w:pos="-284" w:leader="none"/>
        </w:tabs>
        <w:rPr>
          <w:highlight w:val="none"/>
        </w:rPr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ab/>
        <w:t xml:space="preserve">Исполнитель обязуется оказать следующие услуги: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по проведению измерений и анализов проб атмосферного воздуха и промышленных выбросав, включая отбор проб на производственных объектах для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АО «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Россети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Сибирь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», согласно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   требованиям: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Федерального закона «Об охране окружающей среды» № 7-ФЗ от 10.01.2002 г (с изменениями);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Федерального закона «О санитарно-эпидемиологическом благополучии населения» № 52-ФЗ от 30.03.99 г. (с изменениями);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СанПиН 2.1.6.1032-01 «Гигиенические требования к обеспечению качества атмосферного воздуха населенных мест»;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ГН 2.1.6.1338-03 «Предельно-допустимые концентрации (ПДК) загрязняющих веществ в атмосферном воздухе населенных мест»;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en-US"/>
        </w:rPr>
        <w:t xml:space="preserve">ГН 2.1.6.2309-07 «Ориентировочные безопасные уровни воздействия (ОБУВ) загрязняющих веществ в атмосферном воздухе населенных мест», а также в соответствии иными нормативно-правовыми актами (НПА), действующими на момент проведения работ.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567"/>
        <w:jc w:val="both"/>
        <w:spacing w:before="0" w:after="0" w:line="240" w:lineRule="auto"/>
        <w:tabs>
          <w:tab w:val="left" w:pos="-28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ar-SA"/>
        </w:rPr>
        <w:t xml:space="preserve">Ис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ar-SA"/>
        </w:rPr>
        <w:t xml:space="preserve">полнитель обеспечивает во время оказания услуг: соблюдение правил, предусмотренных нормативными актами по охране труда и технике безопасности, противопожарной безопасности, охране окружающей среды, соблюдение санитарии в течение всего срока оказания услуг.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ar-SA"/>
        </w:rPr>
        <w:t xml:space="preserve">Исполнителю необходимо обеспечить прохождение инструктажа по охране труда и технике безопасности своих сотрудников, задействованных при оказании услуг на объектах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bidi="ar-SA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892"/>
        <w:numPr>
          <w:ilvl w:val="1"/>
          <w:numId w:val="10"/>
        </w:numPr>
        <w:ind w:left="0" w:firstLine="709"/>
        <w:jc w:val="both"/>
        <w:keepNext/>
        <w:spacing w:after="0" w:line="240" w:lineRule="auto"/>
        <w:rPr>
          <w:rFonts w:ascii="Times New Roman" w:hAnsi="Times New Roman" w:eastAsia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Сроки и условия оказания услуг:</w:t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</w:p>
    <w:p>
      <w:pPr>
        <w:ind w:firstLine="709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1.4.1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Исполнитель обязан оказать Услуги с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даты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заключения договора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до 31.07.2025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г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keepNext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1.4.2.</w:t>
      </w:r>
      <w:r>
        <w:rPr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Проведение измерений и лабораторных исследований Исполнитель реализует  в следующем объеме: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1"/>
        <w:spacing w:after="0" w:afterAutospacing="0" w:line="317" w:lineRule="exact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  <w:tab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1.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none"/>
        </w:rPr>
        <w:t xml:space="preserve">Центральная производственная база Центрального района электрических сетей: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г. Кызыл, ул. Колхозная , 2;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tbl>
      <w:tblPr>
        <w:tblW w:w="9666" w:type="dxa"/>
        <w:jc w:val="center"/>
        <w:tblInd w:w="1495" w:type="dxa"/>
        <w:tblLayout w:type="fixed"/>
        <w:tblCellMar>
          <w:left w:w="15" w:type="dxa"/>
          <w:top w:w="0" w:type="dxa"/>
          <w:right w:w="15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1831"/>
        <w:gridCol w:w="1083"/>
        <w:gridCol w:w="759"/>
        <w:gridCol w:w="3441"/>
        <w:gridCol w:w="1843"/>
      </w:tblGrid>
      <w:tr>
        <w:tblPrEx/>
        <w:trPr>
          <w:trHeight w:val="360" w:hRule="exact"/>
        </w:trPr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40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Цех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Номер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источника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200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Загрязняющее вещество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Периодичность контроля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75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номер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pPr>
              <w:pStyle w:val="88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код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pStyle w:val="88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7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val="en-US"/>
              </w:rPr>
              <w:t xml:space="preserve">Сварочный участок СМиТ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0001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0143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Марганец и его соединения (в пересчете на марганца (IV) оксид)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52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pStyle w:val="881"/>
              <w:jc w:val="center"/>
            </w:pPr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pPr>
              <w:pStyle w:val="881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</w:r>
            <w:r>
              <w:rPr>
                <w:bCs/>
                <w:lang w:val="en-US"/>
              </w:rPr>
            </w:r>
            <w:r>
              <w:rPr>
                <w:bCs/>
                <w:lang w:val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0342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Фториды газообразные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 раз в 5 лет (кат. 4)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val="en-US"/>
              </w:rPr>
              <w:t xml:space="preserve">Ремонтно строительный участок (РСУ)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0002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en-US"/>
              </w:rPr>
              <w:t xml:space="preserve">0143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Марганец и его соединения (в пересчете на марганца (IV) оксид)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en-US"/>
              </w:rPr>
              <w:t xml:space="preserve">0342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Фториды газообразные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 раз в 5 лет (кат. 4)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Служба подстанций (СПС)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0003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0143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Марганец и его соединения (в пересчете на марганца (IV) оксид)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0342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Фториды газообразные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 раз в 5 лет (кат. 4)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Территория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0004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en-US"/>
              </w:rPr>
              <w:t xml:space="preserve">0301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en-US"/>
              </w:rPr>
              <w:t xml:space="preserve">Азота диоксид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(Азот (IV) оксид)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0304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Азот (II) оксид (Азота оксид)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0330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Сера диоксид (Ангидрид сернистый)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Углерод оксид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1325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Формальдегид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2732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Керосин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</w:tbl>
    <w:p>
      <w:pPr>
        <w:ind w:left="0" w:right="0" w:firstLine="708"/>
        <w:spacing w:after="0" w:afterAutospacing="0" w:line="317" w:lineRule="exact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2. Производственная база Восточного района электрических сетей; г. Сарыг-Сеп,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ул. Мира, 6А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tbl>
      <w:tblPr>
        <w:tblW w:w="9666" w:type="dxa"/>
        <w:jc w:val="center"/>
        <w:tblInd w:w="1495" w:type="dxa"/>
        <w:tblLayout w:type="fixed"/>
        <w:tblCellMar>
          <w:left w:w="15" w:type="dxa"/>
          <w:top w:w="0" w:type="dxa"/>
          <w:right w:w="15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1831"/>
        <w:gridCol w:w="1083"/>
        <w:gridCol w:w="759"/>
        <w:gridCol w:w="3441"/>
        <w:gridCol w:w="1843"/>
      </w:tblGrid>
      <w:tr>
        <w:tblPrEx/>
        <w:trPr>
          <w:trHeight w:val="360" w:hRule="exact"/>
        </w:trPr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40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Цех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Номер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источника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200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Загрязняющее вещество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Периодичность контроля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75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номер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pPr>
              <w:pStyle w:val="88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код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pStyle w:val="88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Территория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0001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en-US"/>
              </w:rPr>
              <w:t xml:space="preserve">0301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en-US"/>
              </w:rPr>
              <w:t xml:space="preserve">Азота диоксид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(Азот (IV) оксид)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0304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Азот (II) оксид (Азота оксид)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0330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Сера диоксид (Ангидрид сернистый)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Углерод оксид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1325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Формальдегид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2732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Керосин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</w:tbl>
    <w:p>
      <w:pPr>
        <w:ind w:firstLine="708"/>
        <w:spacing w:after="0" w:afterAutospacing="0" w:line="317" w:lineRule="exact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Производственная база Западного района электрических сетей: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г. Ак-Довурак, ул.Монгуша Марата,  23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tbl>
      <w:tblPr>
        <w:tblW w:w="9666" w:type="dxa"/>
        <w:jc w:val="center"/>
        <w:tblInd w:w="1495" w:type="dxa"/>
        <w:tblLayout w:type="fixed"/>
        <w:tblCellMar>
          <w:left w:w="15" w:type="dxa"/>
          <w:top w:w="0" w:type="dxa"/>
          <w:right w:w="15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1831"/>
        <w:gridCol w:w="1083"/>
        <w:gridCol w:w="759"/>
        <w:gridCol w:w="3441"/>
        <w:gridCol w:w="1843"/>
      </w:tblGrid>
      <w:tr>
        <w:tblPrEx/>
        <w:trPr>
          <w:trHeight w:val="360" w:hRule="exact"/>
        </w:trPr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40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Цех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Номер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источника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200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Загрязняющее вещество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Периодичность контроля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75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номер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pPr>
              <w:pStyle w:val="88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код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pStyle w:val="88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Территория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0001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en-US"/>
              </w:rPr>
              <w:t xml:space="preserve">0301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en-US"/>
              </w:rPr>
              <w:t xml:space="preserve">Азота диоксид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(Азот (IV) оксид)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0304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Азот (II) оксид (Азота оксид)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0330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Сера диоксид (Ангидрид сернистый)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Углерод оксид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1325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Формальдегид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1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2732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Керосин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</w:tbl>
    <w:p>
      <w:pPr>
        <w:ind w:firstLine="708"/>
        <w:spacing w:line="317" w:lineRule="exact"/>
        <w:shd w:val="clear" w:color="auto" w:fill="ffffff"/>
        <w:rPr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.Производственная база Южного района электрических сетей: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с. Бай-Хаак, ул. Оюна Дамчая, 71А 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tbl>
      <w:tblPr>
        <w:tblW w:w="9666" w:type="dxa"/>
        <w:jc w:val="center"/>
        <w:tblInd w:w="1495" w:type="dxa"/>
        <w:tblLayout w:type="fixed"/>
        <w:tblCellMar>
          <w:left w:w="15" w:type="dxa"/>
          <w:top w:w="0" w:type="dxa"/>
          <w:right w:w="15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1831"/>
        <w:gridCol w:w="1083"/>
        <w:gridCol w:w="759"/>
        <w:gridCol w:w="3441"/>
        <w:gridCol w:w="1843"/>
      </w:tblGrid>
      <w:tr>
        <w:tblPrEx/>
        <w:trPr>
          <w:trHeight w:val="360" w:hRule="exact"/>
        </w:trPr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40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Цех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Номер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источника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200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Загрязняющее вещество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Периодичность контроля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75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номер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pPr>
              <w:pStyle w:val="88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код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pStyle w:val="88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center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Территория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81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0001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en-US"/>
              </w:rPr>
              <w:t xml:space="preserve">0301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en-US"/>
              </w:rPr>
              <w:t xml:space="preserve">Азота диоксид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(Азот (IV) оксид)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0304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Азот (II) оксид (Азота оксид)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0330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Сера диоксид (Ангидрид сернистый)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Углерод оксид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1325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Формальдегид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1" w:hRule="exac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3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0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59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jc w:val="right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2732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41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38"/>
              <w:spacing w:before="30" w:line="206" w:lineRule="exac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Керосин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881"/>
              <w:ind w:left="15"/>
              <w:spacing w:before="30" w:line="206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раз в год (кат. 3Б)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</w:tbl>
    <w:p>
      <w:pPr>
        <w:ind w:firstLine="0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92"/>
        <w:numPr>
          <w:ilvl w:val="2"/>
          <w:numId w:val="12"/>
        </w:numPr>
        <w:ind w:left="0" w:firstLine="720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Предельная Цена настоящего Договора составляет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290 000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(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двести девяносто тысяча рублей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) 00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копеек, в том числе  НДС 20%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numPr>
          <w:ilvl w:val="2"/>
          <w:numId w:val="12"/>
        </w:numPr>
        <w:ind w:left="0" w:firstLine="720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При выполнении задания Исполнитель обязуется принимать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к исполнению рекомендации, предлагаемые Заказчиком по предмету настоящего Договора.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numPr>
          <w:ilvl w:val="2"/>
          <w:numId w:val="12"/>
        </w:numPr>
        <w:ind w:left="0" w:firstLine="720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Заказчик вправе в любое время проверять ход и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качество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оказания,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Исполнителем у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слуг, не вмешиваясь в его деятельность.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numPr>
          <w:ilvl w:val="2"/>
          <w:numId w:val="12"/>
        </w:numPr>
        <w:ind w:left="0" w:firstLine="720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Стороны обязуются немедленно информировать друг друга об обстоятельствах,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препятствующих оказанию услуг, для своевременного принятия мер по их устранению.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numPr>
          <w:ilvl w:val="2"/>
          <w:numId w:val="12"/>
        </w:numPr>
        <w:ind w:left="0" w:firstLine="720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Услуги считаются оказанными после подписания Сторонами Акта об оказании услуг.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851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numPr>
          <w:ilvl w:val="1"/>
          <w:numId w:val="12"/>
        </w:numPr>
        <w:ind w:left="0" w:firstLine="709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Качество услуг:</w:t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highlight w:val="none"/>
        </w:rPr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1.5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.1.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Качество выполняемых работ должно точно соответствовать требованиям природоохранного законодательства РФ, а именно:</w:t>
      </w:r>
      <w:r>
        <w:rPr>
          <w:highlight w:val="none"/>
        </w:rPr>
      </w:r>
      <w:r>
        <w:rPr>
          <w:highlight w:val="none"/>
        </w:rPr>
      </w:r>
    </w:p>
    <w:p>
      <w:pPr>
        <w:pStyle w:val="892"/>
        <w:numPr>
          <w:ilvl w:val="0"/>
          <w:numId w:val="16"/>
        </w:numPr>
        <w:jc w:val="both"/>
        <w:spacing w:after="0" w:line="240" w:lineRule="auto"/>
        <w:rPr>
          <w:highlight w:val="none"/>
        </w:rPr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Федеральному закону от 10.01.2002 № 7-ФЗ «Об охране окружающей среды»;</w:t>
      </w:r>
      <w:r>
        <w:rPr>
          <w:highlight w:val="none"/>
        </w:rPr>
      </w:r>
      <w:r>
        <w:rPr>
          <w:highlight w:val="none"/>
        </w:rPr>
      </w:r>
    </w:p>
    <w:p>
      <w:pPr>
        <w:pStyle w:val="892"/>
        <w:numPr>
          <w:ilvl w:val="0"/>
          <w:numId w:val="16"/>
        </w:numPr>
        <w:jc w:val="both"/>
        <w:spacing w:after="0" w:line="240" w:lineRule="auto"/>
        <w:rPr>
          <w:highlight w:val="none"/>
        </w:rPr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Федеральному закону от 30.03.1999 № 52-ФЗ «О санитарно-эпидемиологическом благополучии населения»;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892"/>
        <w:numPr>
          <w:ilvl w:val="0"/>
          <w:numId w:val="8"/>
        </w:numPr>
        <w:ind w:left="0" w:firstLine="709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highlight w:val="none"/>
        </w:rPr>
        <w:outlineLvl w:val="0"/>
      </w:pPr>
      <w:r>
        <w:rPr>
          <w:highlight w:val="none"/>
        </w:rPr>
      </w:r>
      <w:bookmarkStart w:id="0" w:name="_Toc176765757"/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Требования к выполнению </w:t>
      </w:r>
      <w:bookmarkEnd w:id="0"/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услуг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:</w:t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2.1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. Наличие собственной лаборатории и аттестата ее аккредитации на техническую компетентность и независимость, выданного РОСАККРЕДИТАЦИЕЙ и зарегистрированного в едином реестре системы РОСАККРЕДИТАЦИИ (ФЗ от 28.12.2013 г. №412 «Об аккредитации в национальной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системе аккредитации»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2.2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Оснащение оборудованием и техникой, наличие собственных производственных помещений (лаборатории) для оказания услуг.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2.3.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Соблюдение при выполнении работ требований внутри объектового и пропускного режима на территориях производственных площадок АО «Россети Сибирь Тываэнерго».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Проведение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 измерений и анализов проб атмосферного воздуха и промышленных выбросав, включая отбор проб на производственных площадках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является завершенным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в случае отбора проб на всех участках, а также выполнения полного объема лабораторных и функциональных исследований, предусмотренных для вида работ.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851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color w:val="262626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 w:cs="Calibri"/>
          <w:color w:val="262626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Calibri"/>
          <w:color w:val="262626"/>
          <w:sz w:val="24"/>
          <w:szCs w:val="24"/>
          <w:highlight w:val="none"/>
        </w:rPr>
      </w:r>
      <w:r>
        <w:rPr>
          <w:rFonts w:ascii="Times New Roman" w:hAnsi="Times New Roman" w:eastAsia="Times New Roman" w:cs="Calibri"/>
          <w:color w:val="262626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 w:cs="Calibri"/>
          <w:b/>
          <w:color w:val="262626"/>
          <w:sz w:val="24"/>
          <w:szCs w:val="24"/>
          <w:highlight w:val="none"/>
          <w:lang w:eastAsia="ru-RU"/>
        </w:rPr>
        <w:t xml:space="preserve">3. 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Требования к исполнителю</w:t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3.1.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Наличие собственной испытательной лаборатории, аккредитованной по отбору, анализу и инструментальным замерам проб атмосферного воздуха, с областью аккредитации, достаточной для выполнения услуг в объёме, определённом техническим заданием.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3.2.Исполнитель должен обладать квалифицированными кадрами и собственной материально-технической базой для оказания услуг, по существу, технического задания.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3.3.Проведение исследований промышленных выбросов в атмосферный воздух выполнять на объектах, указанных в п. 2 настоящего ТЗ в присутствии представителя Заказчика.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3.4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.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Оказать у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слуги в полном объеме и в указанный срок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с надлежащим качеством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3.3. Сообщать по требованию Заказчика все сведения о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ходе выполнения его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указаний.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3.4. Исполнитель обязан немедленно предупредить Заказчика и до получения от него    указаний приостановить оказание услуг при обнаружении: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а) возможных неблагоприятных для Заказч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ика последствий выполнения его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указаний о способе оказания услуги;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851"/>
        <w:jc w:val="both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4. Требования к объему документации, предоставляемой к закупке для оценки предложения по лоту</w:t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Участник должен подготовить следующие документы: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Аттестат аккредитации лаборатории (центра)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зарегистрированного в едином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реестре системы РОСАККРЕДИТАЦИИ (ФЗ от 28.12.2013 г. №412 «Об аккредитации в национальной системе аккредитации»)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103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969"/>
        <w:gridCol w:w="2127"/>
        <w:gridCol w:w="2409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firstLine="34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45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</w:tr>
      <w:tr>
        <w:tblPrEx/>
        <w:trPr>
          <w:trHeight w:val="1451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Заместитель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главного инженера – начальник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с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лужбы производственной безопасности и производственного контроля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АО «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Россети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 Сибирь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Тываэнерго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»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Н.Н.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Кудрявцев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</w:tr>
      <w:tr>
        <w:tblPrEx/>
        <w:trPr>
          <w:trHeight w:val="1402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ind w:firstLine="34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Заместитель главного инженера - начальник управления производственной безопасности и производственного контроля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  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ПАО «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Россети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 Сибирь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»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Е.А.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Вельман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</w:tr>
    </w:tbl>
    <w:p>
      <w:pPr>
        <w:ind w:firstLine="851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</w:r>
      <w:r>
        <w:rPr>
          <w:rFonts w:ascii="Times New Roman CYR" w:hAnsi="Times New Roman CYR" w:cs="Times New Roman CYR"/>
          <w:sz w:val="24"/>
          <w:szCs w:val="24"/>
        </w:rPr>
      </w:r>
      <w:r>
        <w:rPr>
          <w:rFonts w:ascii="Times New Roman CYR" w:hAnsi="Times New Roman CYR" w:cs="Times New Roman CYR"/>
          <w:sz w:val="24"/>
          <w:szCs w:val="24"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6040504020204"/>
  </w:font>
  <w:font w:name="Cambria">
    <w:panose1 w:val="02040503050406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3</w:t>
    </w:r>
    <w:r>
      <w:fldChar w:fldCharType="end"/>
    </w:r>
    <w:r/>
  </w:p>
  <w:p>
    <w:pPr>
      <w:pStyle w:val="88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1387" w:hanging="525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596" w:hanging="525"/>
      </w:pPr>
      <w:rPr>
        <w:rFonts w:hint="default"/>
      </w:rPr>
    </w:lvl>
    <w:lvl w:ilvl="2">
      <w:start w:val="4"/>
      <w:numFmt w:val="decimal"/>
      <w:isLgl w:val="false"/>
      <w:suff w:val="tab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0"/>
  </w:num>
  <w:num w:numId="5">
    <w:abstractNumId w:val="2"/>
  </w:num>
  <w:num w:numId="6">
    <w:abstractNumId w:val="1"/>
  </w:num>
  <w:num w:numId="7">
    <w:abstractNumId w:val="4"/>
  </w:num>
  <w:num w:numId="8">
    <w:abstractNumId w:val="11"/>
  </w:num>
  <w:num w:numId="9">
    <w:abstractNumId w:val="3"/>
  </w:num>
  <w:num w:numId="10">
    <w:abstractNumId w:val="8"/>
  </w:num>
  <w:num w:numId="11">
    <w:abstractNumId w:val="0"/>
  </w:num>
  <w:num w:numId="12">
    <w:abstractNumId w:val="7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6">
    <w:name w:val="Heading 1 Char"/>
    <w:basedOn w:val="883"/>
    <w:link w:val="882"/>
    <w:uiPriority w:val="9"/>
    <w:rPr>
      <w:rFonts w:ascii="Arial" w:hAnsi="Arial" w:eastAsia="Arial" w:cs="Arial"/>
      <w:sz w:val="40"/>
      <w:szCs w:val="40"/>
    </w:rPr>
  </w:style>
  <w:style w:type="paragraph" w:styleId="707">
    <w:name w:val="Heading 2"/>
    <w:basedOn w:val="881"/>
    <w:next w:val="881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8">
    <w:name w:val="Heading 2 Char"/>
    <w:basedOn w:val="883"/>
    <w:link w:val="707"/>
    <w:uiPriority w:val="9"/>
    <w:rPr>
      <w:rFonts w:ascii="Arial" w:hAnsi="Arial" w:eastAsia="Arial" w:cs="Arial"/>
      <w:sz w:val="34"/>
    </w:rPr>
  </w:style>
  <w:style w:type="paragraph" w:styleId="709">
    <w:name w:val="Heading 3"/>
    <w:basedOn w:val="881"/>
    <w:next w:val="881"/>
    <w:link w:val="71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0">
    <w:name w:val="Heading 3 Char"/>
    <w:basedOn w:val="883"/>
    <w:link w:val="709"/>
    <w:uiPriority w:val="9"/>
    <w:rPr>
      <w:rFonts w:ascii="Arial" w:hAnsi="Arial" w:eastAsia="Arial" w:cs="Arial"/>
      <w:sz w:val="30"/>
      <w:szCs w:val="30"/>
    </w:rPr>
  </w:style>
  <w:style w:type="paragraph" w:styleId="711">
    <w:name w:val="Heading 4"/>
    <w:basedOn w:val="881"/>
    <w:next w:val="881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2">
    <w:name w:val="Heading 4 Char"/>
    <w:basedOn w:val="883"/>
    <w:link w:val="711"/>
    <w:uiPriority w:val="9"/>
    <w:rPr>
      <w:rFonts w:ascii="Arial" w:hAnsi="Arial" w:eastAsia="Arial" w:cs="Arial"/>
      <w:b/>
      <w:bCs/>
      <w:sz w:val="26"/>
      <w:szCs w:val="26"/>
    </w:rPr>
  </w:style>
  <w:style w:type="paragraph" w:styleId="713">
    <w:name w:val="Heading 5"/>
    <w:basedOn w:val="881"/>
    <w:next w:val="881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4">
    <w:name w:val="Heading 5 Char"/>
    <w:basedOn w:val="883"/>
    <w:link w:val="713"/>
    <w:uiPriority w:val="9"/>
    <w:rPr>
      <w:rFonts w:ascii="Arial" w:hAnsi="Arial" w:eastAsia="Arial" w:cs="Arial"/>
      <w:b/>
      <w:bCs/>
      <w:sz w:val="24"/>
      <w:szCs w:val="24"/>
    </w:rPr>
  </w:style>
  <w:style w:type="paragraph" w:styleId="715">
    <w:name w:val="Heading 6"/>
    <w:basedOn w:val="881"/>
    <w:next w:val="881"/>
    <w:link w:val="71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6">
    <w:name w:val="Heading 6 Char"/>
    <w:basedOn w:val="883"/>
    <w:link w:val="715"/>
    <w:uiPriority w:val="9"/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881"/>
    <w:next w:val="881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7 Char"/>
    <w:basedOn w:val="883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9">
    <w:name w:val="Heading 8"/>
    <w:basedOn w:val="881"/>
    <w:next w:val="881"/>
    <w:link w:val="72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0">
    <w:name w:val="Heading 8 Char"/>
    <w:basedOn w:val="883"/>
    <w:link w:val="719"/>
    <w:uiPriority w:val="9"/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881"/>
    <w:next w:val="881"/>
    <w:link w:val="72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>
    <w:name w:val="Heading 9 Char"/>
    <w:basedOn w:val="883"/>
    <w:link w:val="721"/>
    <w:uiPriority w:val="9"/>
    <w:rPr>
      <w:rFonts w:ascii="Arial" w:hAnsi="Arial" w:eastAsia="Arial" w:cs="Arial"/>
      <w:i/>
      <w:iCs/>
      <w:sz w:val="21"/>
      <w:szCs w:val="21"/>
    </w:rPr>
  </w:style>
  <w:style w:type="paragraph" w:styleId="723">
    <w:name w:val="No Spacing"/>
    <w:uiPriority w:val="1"/>
    <w:qFormat/>
    <w:pPr>
      <w:spacing w:before="0" w:after="0" w:line="240" w:lineRule="auto"/>
    </w:pPr>
  </w:style>
  <w:style w:type="paragraph" w:styleId="724">
    <w:name w:val="Title"/>
    <w:basedOn w:val="881"/>
    <w:next w:val="881"/>
    <w:link w:val="72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5">
    <w:name w:val="Title Char"/>
    <w:basedOn w:val="883"/>
    <w:link w:val="724"/>
    <w:uiPriority w:val="10"/>
    <w:rPr>
      <w:sz w:val="48"/>
      <w:szCs w:val="48"/>
    </w:rPr>
  </w:style>
  <w:style w:type="paragraph" w:styleId="726">
    <w:name w:val="Subtitle"/>
    <w:basedOn w:val="881"/>
    <w:next w:val="881"/>
    <w:link w:val="727"/>
    <w:uiPriority w:val="11"/>
    <w:qFormat/>
    <w:pPr>
      <w:spacing w:before="200" w:after="200"/>
    </w:pPr>
    <w:rPr>
      <w:sz w:val="24"/>
      <w:szCs w:val="24"/>
    </w:rPr>
  </w:style>
  <w:style w:type="character" w:styleId="727">
    <w:name w:val="Subtitle Char"/>
    <w:basedOn w:val="883"/>
    <w:link w:val="726"/>
    <w:uiPriority w:val="11"/>
    <w:rPr>
      <w:sz w:val="24"/>
      <w:szCs w:val="24"/>
    </w:rPr>
  </w:style>
  <w:style w:type="paragraph" w:styleId="728">
    <w:name w:val="Quote"/>
    <w:basedOn w:val="881"/>
    <w:next w:val="881"/>
    <w:link w:val="729"/>
    <w:uiPriority w:val="29"/>
    <w:qFormat/>
    <w:pPr>
      <w:ind w:left="720" w:right="720"/>
    </w:pPr>
    <w:rPr>
      <w:i/>
    </w:rPr>
  </w:style>
  <w:style w:type="character" w:styleId="729">
    <w:name w:val="Quote Char"/>
    <w:link w:val="728"/>
    <w:uiPriority w:val="29"/>
    <w:rPr>
      <w:i/>
    </w:rPr>
  </w:style>
  <w:style w:type="paragraph" w:styleId="730">
    <w:name w:val="Intense Quote"/>
    <w:basedOn w:val="881"/>
    <w:next w:val="881"/>
    <w:link w:val="73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1">
    <w:name w:val="Intense Quote Char"/>
    <w:link w:val="730"/>
    <w:uiPriority w:val="30"/>
    <w:rPr>
      <w:i/>
    </w:rPr>
  </w:style>
  <w:style w:type="paragraph" w:styleId="732">
    <w:name w:val="Header"/>
    <w:basedOn w:val="881"/>
    <w:link w:val="73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3">
    <w:name w:val="Header Char"/>
    <w:basedOn w:val="883"/>
    <w:link w:val="732"/>
    <w:uiPriority w:val="99"/>
  </w:style>
  <w:style w:type="character" w:styleId="734">
    <w:name w:val="Footer Char"/>
    <w:basedOn w:val="883"/>
    <w:link w:val="886"/>
    <w:uiPriority w:val="99"/>
  </w:style>
  <w:style w:type="paragraph" w:styleId="735">
    <w:name w:val="Caption"/>
    <w:basedOn w:val="881"/>
    <w:next w:val="8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6">
    <w:name w:val="Caption Char"/>
    <w:basedOn w:val="735"/>
    <w:link w:val="886"/>
    <w:uiPriority w:val="99"/>
  </w:style>
  <w:style w:type="table" w:styleId="737">
    <w:name w:val="Table Grid"/>
    <w:basedOn w:val="88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>
    <w:name w:val="Table Grid Light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1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2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2">
    <w:name w:val="Plain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Plain Table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4">
    <w:name w:val="Grid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6">
    <w:name w:val="Grid Table 4 - Accent 1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7">
    <w:name w:val="Grid Table 4 - Accent 2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8">
    <w:name w:val="Grid Table 4 - Accent 3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9">
    <w:name w:val="Grid Table 4 - Accent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0">
    <w:name w:val="Grid Table 4 - Accent 5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1">
    <w:name w:val="Grid Table 4 - Accent 6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2">
    <w:name w:val="Grid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3">
    <w:name w:val="Grid Table 5 Dark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6">
    <w:name w:val="Grid Table 5 Dark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9">
    <w:name w:val="Grid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0">
    <w:name w:val="Grid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1">
    <w:name w:val="Grid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2">
    <w:name w:val="Grid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3">
    <w:name w:val="Grid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4">
    <w:name w:val="Grid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5">
    <w:name w:val="Grid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6">
    <w:name w:val="Grid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1">
    <w:name w:val="List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2">
    <w:name w:val="List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3">
    <w:name w:val="List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4">
    <w:name w:val="List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5">
    <w:name w:val="List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6">
    <w:name w:val="List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7">
    <w:name w:val="List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9">
    <w:name w:val="List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0">
    <w:name w:val="List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1">
    <w:name w:val="List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2">
    <w:name w:val="List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3">
    <w:name w:val="List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4">
    <w:name w:val="List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5">
    <w:name w:val="List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6">
    <w:name w:val="List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7">
    <w:name w:val="List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8">
    <w:name w:val="List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9">
    <w:name w:val="List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0">
    <w:name w:val="List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1">
    <w:name w:val="List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2">
    <w:name w:val="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 &amp; 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0">
    <w:name w:val="Bordered &amp; 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1">
    <w:name w:val="Bordered &amp; 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2">
    <w:name w:val="Bordered &amp; 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3">
    <w:name w:val="Bordered &amp; 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4">
    <w:name w:val="Bordered &amp; 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5">
    <w:name w:val="Bordered &amp; 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6">
    <w:name w:val="Bordered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7">
    <w:name w:val="Bordered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8">
    <w:name w:val="Bordered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9">
    <w:name w:val="Bordered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0">
    <w:name w:val="Bordered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1">
    <w:name w:val="Bordered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2">
    <w:name w:val="Bordered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3">
    <w:name w:val="Hyperlink"/>
    <w:uiPriority w:val="99"/>
    <w:unhideWhenUsed/>
    <w:rPr>
      <w:color w:val="0000ff" w:themeColor="hyperlink"/>
      <w:u w:val="single"/>
    </w:rPr>
  </w:style>
  <w:style w:type="paragraph" w:styleId="864">
    <w:name w:val="footnote text"/>
    <w:basedOn w:val="881"/>
    <w:link w:val="865"/>
    <w:uiPriority w:val="99"/>
    <w:semiHidden/>
    <w:unhideWhenUsed/>
    <w:pPr>
      <w:spacing w:after="40" w:line="240" w:lineRule="auto"/>
    </w:pPr>
    <w:rPr>
      <w:sz w:val="18"/>
    </w:rPr>
  </w:style>
  <w:style w:type="character" w:styleId="865">
    <w:name w:val="Footnote Text Char"/>
    <w:link w:val="864"/>
    <w:uiPriority w:val="99"/>
    <w:rPr>
      <w:sz w:val="18"/>
    </w:rPr>
  </w:style>
  <w:style w:type="character" w:styleId="866">
    <w:name w:val="footnote reference"/>
    <w:basedOn w:val="883"/>
    <w:uiPriority w:val="99"/>
    <w:unhideWhenUsed/>
    <w:rPr>
      <w:vertAlign w:val="superscript"/>
    </w:rPr>
  </w:style>
  <w:style w:type="paragraph" w:styleId="867">
    <w:name w:val="endnote text"/>
    <w:basedOn w:val="881"/>
    <w:link w:val="868"/>
    <w:uiPriority w:val="99"/>
    <w:semiHidden/>
    <w:unhideWhenUsed/>
    <w:pPr>
      <w:spacing w:after="0" w:line="240" w:lineRule="auto"/>
    </w:pPr>
    <w:rPr>
      <w:sz w:val="20"/>
    </w:rPr>
  </w:style>
  <w:style w:type="character" w:styleId="868">
    <w:name w:val="Endnote Text Char"/>
    <w:link w:val="867"/>
    <w:uiPriority w:val="99"/>
    <w:rPr>
      <w:sz w:val="20"/>
    </w:rPr>
  </w:style>
  <w:style w:type="character" w:styleId="869">
    <w:name w:val="endnote reference"/>
    <w:basedOn w:val="883"/>
    <w:uiPriority w:val="99"/>
    <w:semiHidden/>
    <w:unhideWhenUsed/>
    <w:rPr>
      <w:vertAlign w:val="superscript"/>
    </w:rPr>
  </w:style>
  <w:style w:type="paragraph" w:styleId="870">
    <w:name w:val="toc 1"/>
    <w:basedOn w:val="881"/>
    <w:next w:val="881"/>
    <w:uiPriority w:val="39"/>
    <w:unhideWhenUsed/>
    <w:pPr>
      <w:ind w:left="0" w:right="0" w:firstLine="0"/>
      <w:spacing w:after="57"/>
    </w:pPr>
  </w:style>
  <w:style w:type="paragraph" w:styleId="871">
    <w:name w:val="toc 2"/>
    <w:basedOn w:val="881"/>
    <w:next w:val="881"/>
    <w:uiPriority w:val="39"/>
    <w:unhideWhenUsed/>
    <w:pPr>
      <w:ind w:left="283" w:right="0" w:firstLine="0"/>
      <w:spacing w:after="57"/>
    </w:pPr>
  </w:style>
  <w:style w:type="paragraph" w:styleId="872">
    <w:name w:val="toc 3"/>
    <w:basedOn w:val="881"/>
    <w:next w:val="881"/>
    <w:uiPriority w:val="39"/>
    <w:unhideWhenUsed/>
    <w:pPr>
      <w:ind w:left="567" w:right="0" w:firstLine="0"/>
      <w:spacing w:after="57"/>
    </w:pPr>
  </w:style>
  <w:style w:type="paragraph" w:styleId="873">
    <w:name w:val="toc 4"/>
    <w:basedOn w:val="881"/>
    <w:next w:val="881"/>
    <w:uiPriority w:val="39"/>
    <w:unhideWhenUsed/>
    <w:pPr>
      <w:ind w:left="850" w:right="0" w:firstLine="0"/>
      <w:spacing w:after="57"/>
    </w:pPr>
  </w:style>
  <w:style w:type="paragraph" w:styleId="874">
    <w:name w:val="toc 5"/>
    <w:basedOn w:val="881"/>
    <w:next w:val="881"/>
    <w:uiPriority w:val="39"/>
    <w:unhideWhenUsed/>
    <w:pPr>
      <w:ind w:left="1134" w:right="0" w:firstLine="0"/>
      <w:spacing w:after="57"/>
    </w:pPr>
  </w:style>
  <w:style w:type="paragraph" w:styleId="875">
    <w:name w:val="toc 6"/>
    <w:basedOn w:val="881"/>
    <w:next w:val="881"/>
    <w:uiPriority w:val="39"/>
    <w:unhideWhenUsed/>
    <w:pPr>
      <w:ind w:left="1417" w:right="0" w:firstLine="0"/>
      <w:spacing w:after="57"/>
    </w:pPr>
  </w:style>
  <w:style w:type="paragraph" w:styleId="876">
    <w:name w:val="toc 7"/>
    <w:basedOn w:val="881"/>
    <w:next w:val="881"/>
    <w:uiPriority w:val="39"/>
    <w:unhideWhenUsed/>
    <w:pPr>
      <w:ind w:left="1701" w:right="0" w:firstLine="0"/>
      <w:spacing w:after="57"/>
    </w:pPr>
  </w:style>
  <w:style w:type="paragraph" w:styleId="877">
    <w:name w:val="toc 8"/>
    <w:basedOn w:val="881"/>
    <w:next w:val="881"/>
    <w:uiPriority w:val="39"/>
    <w:unhideWhenUsed/>
    <w:pPr>
      <w:ind w:left="1984" w:right="0" w:firstLine="0"/>
      <w:spacing w:after="57"/>
    </w:pPr>
  </w:style>
  <w:style w:type="paragraph" w:styleId="878">
    <w:name w:val="toc 9"/>
    <w:basedOn w:val="881"/>
    <w:next w:val="881"/>
    <w:uiPriority w:val="39"/>
    <w:unhideWhenUsed/>
    <w:pPr>
      <w:ind w:left="2268" w:right="0" w:firstLine="0"/>
      <w:spacing w:after="57"/>
    </w:pPr>
  </w:style>
  <w:style w:type="paragraph" w:styleId="879">
    <w:name w:val="TOC Heading"/>
    <w:uiPriority w:val="39"/>
    <w:unhideWhenUsed/>
  </w:style>
  <w:style w:type="paragraph" w:styleId="880">
    <w:name w:val="table of figures"/>
    <w:basedOn w:val="881"/>
    <w:next w:val="881"/>
    <w:uiPriority w:val="99"/>
    <w:unhideWhenUsed/>
    <w:pPr>
      <w:spacing w:after="0" w:afterAutospacing="0"/>
    </w:pPr>
  </w:style>
  <w:style w:type="paragraph" w:styleId="881" w:default="1">
    <w:name w:val="Normal"/>
    <w:qFormat/>
    <w:rPr>
      <w:rFonts w:ascii="Calibri" w:hAnsi="Calibri" w:eastAsia="Calibri" w:cs="Times New Roman"/>
    </w:rPr>
  </w:style>
  <w:style w:type="paragraph" w:styleId="882">
    <w:name w:val="Heading 1"/>
    <w:basedOn w:val="881"/>
    <w:next w:val="881"/>
    <w:link w:val="888"/>
    <w:uiPriority w:val="9"/>
    <w:qFormat/>
    <w:pPr>
      <w:keepNext/>
      <w:spacing w:before="240" w:after="60"/>
      <w:outlineLvl w:val="0"/>
    </w:pPr>
    <w:rPr>
      <w:rFonts w:ascii="Cambria" w:hAnsi="Cambria" w:eastAsia="Times New Roman"/>
      <w:b/>
      <w:bCs/>
      <w:sz w:val="32"/>
      <w:szCs w:val="32"/>
    </w:rPr>
  </w:style>
  <w:style w:type="character" w:styleId="883" w:default="1">
    <w:name w:val="Default Paragraph Font"/>
    <w:uiPriority w:val="1"/>
    <w:semiHidden/>
    <w:unhideWhenUsed/>
  </w:style>
  <w:style w:type="table" w:styleId="8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5" w:default="1">
    <w:name w:val="No List"/>
    <w:uiPriority w:val="99"/>
    <w:semiHidden/>
    <w:unhideWhenUsed/>
  </w:style>
  <w:style w:type="paragraph" w:styleId="886">
    <w:name w:val="Footer"/>
    <w:basedOn w:val="881"/>
    <w:link w:val="88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7" w:customStyle="1">
    <w:name w:val="Нижний колонтитул Знак"/>
    <w:basedOn w:val="883"/>
    <w:link w:val="886"/>
    <w:uiPriority w:val="99"/>
    <w:rPr>
      <w:rFonts w:ascii="Calibri" w:hAnsi="Calibri" w:eastAsia="Calibri" w:cs="Times New Roman"/>
    </w:rPr>
  </w:style>
  <w:style w:type="character" w:styleId="888" w:customStyle="1">
    <w:name w:val="Заголовок 1 Знак"/>
    <w:basedOn w:val="883"/>
    <w:link w:val="882"/>
    <w:uiPriority w:val="9"/>
    <w:rPr>
      <w:rFonts w:ascii="Cambria" w:hAnsi="Cambria" w:eastAsia="Times New Roman" w:cs="Times New Roman"/>
      <w:b/>
      <w:bCs/>
      <w:sz w:val="32"/>
      <w:szCs w:val="32"/>
    </w:rPr>
  </w:style>
  <w:style w:type="paragraph" w:styleId="889" w:customStyle="1">
    <w:name w:val="МРСК_таблица_текст"/>
    <w:basedOn w:val="881"/>
    <w:pPr>
      <w:ind w:firstLine="709"/>
      <w:jc w:val="both"/>
      <w:keepNext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890">
    <w:name w:val="Balloon Text"/>
    <w:basedOn w:val="881"/>
    <w:link w:val="89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91" w:customStyle="1">
    <w:name w:val="Текст выноски Знак"/>
    <w:basedOn w:val="883"/>
    <w:link w:val="890"/>
    <w:uiPriority w:val="99"/>
    <w:semiHidden/>
    <w:rPr>
      <w:rFonts w:ascii="Tahoma" w:hAnsi="Tahoma" w:eastAsia="Calibri" w:cs="Tahoma"/>
      <w:sz w:val="16"/>
      <w:szCs w:val="16"/>
    </w:rPr>
  </w:style>
  <w:style w:type="paragraph" w:styleId="892">
    <w:name w:val="List Paragraph"/>
    <w:basedOn w:val="881"/>
    <w:uiPriority w:val="34"/>
    <w:qFormat/>
    <w:pPr>
      <w:contextualSpacing/>
      <w:ind w:left="720"/>
    </w:pPr>
  </w:style>
  <w:style w:type="paragraph" w:styleId="893" w:customStyle="1">
    <w:name w:val="List Paragraph,ТЗ список,Bullet List,FooterText,numbered,Paragraphe de liste1,Bulletr List Paragraph,lp1,Список нумерованный цифры,Цветной список - Акцент 11,GOST_TableList"/>
    <w:basedOn w:val="746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zh-CN" w:bidi="en-US"/>
      <w14:ligatures w14:val="none"/>
    </w:rPr>
  </w:style>
  <w:style w:type="paragraph" w:styleId="894" w:customStyle="1">
    <w:name w:val="Абзац списка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160" w:afterAutospacing="0" w:line="259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Хакасэнерго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Маголин Илья Юрьевич</dc:creator>
  <cp:revision>18</cp:revision>
  <dcterms:created xsi:type="dcterms:W3CDTF">2024-04-23T09:44:00Z</dcterms:created>
  <dcterms:modified xsi:type="dcterms:W3CDTF">2025-02-13T03:14:32Z</dcterms:modified>
</cp:coreProperties>
</file>